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9vtr9vyedpf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Opening &amp; Door Knock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“Hi Ms Thompson, I’m Jordan Price. Thank you for welcoming me into your home today.”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“Good afternoon Mr Garcia, my name is Michael Chen. I appreciate you meeting me at your kitchen table.”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“Hello Olivia and Mark, I’m Samantha Lee. I love how bright your foyer is—thanks for having me.”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b3c8x7a5j3d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Immediate Assumptive Closes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(Get a string of early “yes” responses to build momentum)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“When offers arrive, will you include your patio set with the sale?”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“I know you’d like a smooth move, so you won’t be making any major upgrades before listing—right?”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“To hit your August 15th closing goal, we need to be under contract within 30 days; does that timeline work?”</w:t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j09t81qozp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Market Data &amp; CMA Presentation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“In the past 45 days, eight homes in your neighborhood sold at an average of $375,000; here are the comps that match yours most closely.”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“This chart shows days-on-market trends; properties priced 5% over market sat 20% longer.”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“My comparative market analysis suggests listing at $380,000 positions you for strong offers without overpricing.”</w:t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djlezhx39r5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4. Pricing Strategy Phrasing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“Listing at $380,000 creates urgency and avoids the drag of a stale listing.”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“Every $5,000 under market average can boost showings by up to 30 percent.”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“A $3,000 to $7,000 pricing sweet spot will spark multiple offers and drive up net proceeds.”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v0ad99r3t1e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5. Marketing Plan &amp; Staging Advice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“We’ll start with professional drone photos and a 3D virtual tour—buyers spend 50 percent more time online with immersive media.”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“A fresh coat of neutral paint in the living room and a simple bouquet on the island can bump perceived value by 6 percent.”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“Targeted social ads will reach buyers searching ‘4-bedroom homes under $400K’ in the last 30 days.”</w:t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devl8jh2cf8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6. Objection Handling &amp; Commission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Isolate and Set Aside</w:t>
        <w:br w:type="textWrapping"/>
      </w:r>
      <w:r w:rsidDel="00000000" w:rsidR="00000000" w:rsidRPr="00000000">
        <w:rPr>
          <w:rtl w:val="0"/>
        </w:rPr>
        <w:t xml:space="preserve"> “It sounds like fee is top of mind. If we agree on the value and service, we’ll find a rate we both feel good about—does that approach sit well?”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Value-Driven Pivot</w:t>
        <w:br w:type="textWrapping"/>
      </w:r>
      <w:r w:rsidDel="00000000" w:rsidR="00000000" w:rsidRPr="00000000">
        <w:rPr>
          <w:rtl w:val="0"/>
        </w:rPr>
        <w:t xml:space="preserve"> “I understand 3 percent feels high until you see how it drives 25 percent more buyer traffic. Does that perspective help?”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Collaborative Frame</w:t>
        <w:br w:type="textWrapping"/>
      </w:r>
      <w:r w:rsidDel="00000000" w:rsidR="00000000" w:rsidRPr="00000000">
        <w:rPr>
          <w:rtl w:val="0"/>
        </w:rPr>
        <w:t xml:space="preserve"> “Think of commission as a marketing tool. What if we offered 2.5 percent to outside agents to widen our pool of buyers?”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0kkykw8hg7k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7. Collaboration &amp; Control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“My goal is to guide you through every step. May I walk you through our process?”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“You’re in charge here—whatever decision you make, I’ll support it fully. How does that sound?”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“Let’s make this a true partnership. Can I share how we’ll work together from start to finish?”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0e7o3kuu75x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8. Embedded Command Closes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(Plant the idea subtly)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“When I say list your home with me, do you notice how clear that feels?”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“Picture us signing your listing agreement today; does that feel right?”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“Imagine us getting your home sold fast—do you hear that certainty?”</w:t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5tk9fjx3c1w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9. Final Close Variations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Assumptive</w:t>
        <w:br w:type="textWrapping"/>
      </w:r>
      <w:r w:rsidDel="00000000" w:rsidR="00000000" w:rsidRPr="00000000">
        <w:rPr>
          <w:rtl w:val="0"/>
        </w:rPr>
        <w:t xml:space="preserve"> “Since we’re aligned, I have the paperwork here; shall we get started?”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Choice</w:t>
        <w:br w:type="textWrapping"/>
      </w:r>
      <w:r w:rsidDel="00000000" w:rsidR="00000000" w:rsidRPr="00000000">
        <w:rPr>
          <w:rtl w:val="0"/>
        </w:rPr>
        <w:t xml:space="preserve"> “Would you prefer to sign now or schedule our next step for tomorrow?”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Humble Decline</w:t>
        <w:br w:type="textWrapping"/>
      </w:r>
      <w:r w:rsidDel="00000000" w:rsidR="00000000" w:rsidRPr="00000000">
        <w:rPr>
          <w:rtl w:val="0"/>
        </w:rPr>
        <w:t xml:space="preserve"> “If you feel I’m not the right fit, I’ll gladly step away—does that fairness work for you?”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Integrity-Driven</w:t>
        <w:br w:type="textWrapping"/>
      </w:r>
      <w:r w:rsidDel="00000000" w:rsidR="00000000" w:rsidRPr="00000000">
        <w:rPr>
          <w:rtl w:val="0"/>
        </w:rPr>
        <w:t xml:space="preserve"> “Provided all makes sense and you’re confident, I’m ready to go to work for you today. Fair enough?”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